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психологии образования</w:t>
            </w:r>
          </w:p>
          <w:p>
            <w:pPr>
              <w:jc w:val="center"/>
              <w:spacing w:after="0" w:line="240" w:lineRule="auto"/>
              <w:rPr>
                <w:sz w:val="22"/>
                <w:szCs w:val="22"/>
              </w:rPr>
            </w:pPr>
            <w:r>
              <w:rPr>
                <w:rFonts w:ascii="Times New Roman" w:hAnsi="Times New Roman" w:cs="Times New Roman"/>
                <w:color w:val="#000000"/>
                <w:sz w:val="22"/>
                <w:szCs w:val="22"/>
              </w:rPr>
              <w:t> Методы анализа эмпирических данных в психологии</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работе психолога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32.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 2.Государство: происхождение и сущность. 3.Право: происхождение и сущность. 4.Основные правовые системы современности.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трудового права. 2.Трудовые правоотношения. 3.Трудовой договор (контракт). 4.Рабочее время и время отдыха.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0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(ПО)(23)_plx_Правоведение</dc:title>
  <dc:creator>FastReport.NET</dc:creator>
</cp:coreProperties>
</file>